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04 141 vom 25. April 2005</w:t>
      </w:r>
    </w:p>
    <w:p>
      <w:r>
        <w:t>VS Kantonsgericht, 2005-04-25, FR</w:t>
      </w:r>
    </w:p>
    <w:p>
      <w:r>
        <w:rPr>
          <w:b/>
        </w:rPr>
        <w:t xml:space="preserve">Quelle: </w:t>
      </w:r>
      <w:r>
        <w:t>https://mcp.opencaselaw.ch/entscheid/vs_gerichte_C3 04 141</w:t>
      </w:r>
    </w:p>
    <w:p>
      <w:r>
        <w:t>FR: VS_GERICHTE C3 04 141 du 25 avril 2005</w:t>
      </w:r>
    </w:p>
    <w:p>
      <w:r>
        <w:t>IT: VS_GERICHTE C3 04 141 del 25 aprile 2005</w:t>
      </w:r>
    </w:p>
    <w:p>
      <w:pPr>
        <w:pStyle w:val="Heading2"/>
      </w:pPr>
      <w:r>
        <w:t>Regeste</w:t>
      </w:r>
    </w:p>
    <w:p>
      <w:r>
        <w:t>Poursuite pour dettes et faillite (LP) Schuldbetreibungs- und Konkursrecht (SCHKG) ATC (Cour de cassation civile) du 25 avril 2005, X. c. Y. Mainlevée provisoire: vraisemblance du moyen libératoire. – Notion de vraisemblance du moyen libératoire, permettant le rejet de la mainle- vée provisoire (art. 82 al. 2 LP; consid. 3.1 et 3. 2). – Conditions de la vraisemblance (consid. 3.2). – De simples allégations ne suffisent pas à rendre vraisemblable le moyen libéra- toire tiré du dol (consid. 4). – Les écrits privés signés par le poursuivi, comportant une reconnaissance de dette, sont des titres de mainlevée provisoire, comme c’est le cas du contrat de vente lorsque la chose vendue a été livrée (art. 13 à 15 et 16 al. 2 CO; art. 82 LP; consid. 5). Provisorische Rechtsöffnung: Glaubhaftmachen der schuldbefreienden Einwendung. – Begriff des Glaubhaftmachens der schuldbefreienden Einwendung, aufgrund derer die provisorische Rechtsöffnung verweigert wird (Art. 82 Abs. 2 SchKG; E. 3.1 und 3.2). – Voraussetzungen des Glaubhaftmachens (E. 3.2). – Blosse Behauptungen genügen für das Glaubhaftmachen der Einwendung der absichtlichen Täuschung nicht (E. 4). – Private Schriftstücke, die vom Betriebenen unterzeichnet sind und eine</w:t>
      </w:r>
    </w:p>
    <w:p>
      <w:pPr>
        <w:pStyle w:val="Heading2"/>
      </w:pPr>
      <w:r>
        <w:t>Erwägungen</w:t>
      </w:r>
    </w:p>
    <w:p>
      <w:r>
        <w:rPr>
          <w:b/>
        </w:rPr>
        <w:t>E. 3</w:t>
      </w:r>
    </w:p>
    <w:p>
      <w:r>
        <w:t>3. Plus précisément, rendre vraisemblable signiﬁe moins que prouver, mais plus que prétendre (behaupten; Staehelin, op. cit., art. 82 LP n° 87 et les réf. citées). Il faut qu’existent des éléments objectifs permettant de considérer que les afﬁrmations du poursuivi sont vrai- semblables (Panchaud/Caprez, La mainlevée d’opposition, 1980, § 26 n° 10). Le juge doit admettre la vraisemblance aussitôt qu’il a des rai- sons sufﬁsantes de croire à l’exactitude du fait allégué, même s’il n’est pas convaincu de celle-ci, et si tout doute n’est pas écarté; il suf- ﬁt qu’il soit fortement disposé à la croire vraie, bien que tous ses dou- tes ne soient pas levés. En résumé, vraisemblance ne veut pas dire probabilité par opposition à certitude, mais signiﬁe simplement vrai- semblance de moindre degré que la certitude, telle que le juge doit compter et compte en fait avec la possibilité de la preuve contraire (Jäger, Commentaire de la loi fédérale sur la poursuite pour dettes et la faillite, t. I, 1920, art. 82 LP n° 11). Si le juge a un doute sur la vali- 197</w:t>
      </w:r>
    </w:p>
    <w:p>
      <w:r>
        <w:t>dité du contrat qui lui est présenté comme titre de mainlevée, il doit refuser de prononcer celle-ci (Panchaud/Caprez, § 26 n° 4). Quand il se prononce sur la vraisemblance d’un moyen libéra- toire, le juge dispose d’un certain pouvoir d’appréciation (Staehelin, op. cit., art. 82 LP n° 89; Fritzsche/Walder-Bohner, Schuldbetreibung und Konkurs, t. I, 1984, § 20 n° 12).</w:t>
      </w:r>
    </w:p>
    <w:p>
      <w:r>
        <w:rPr>
          <w:b/>
        </w:rPr>
        <w:t>E. 4</w:t>
      </w:r>
    </w:p>
    <w:p>
      <w:r>
        <w:t>En l’espèce, le premier juge a conﬁrmé l’opposition au seul motif que la validité du titre de mainlevée invoqué était contestée pour vice du consentement (dol) dans une action en libération de dette pendante devant son tribunal. Or, à défaut d’autres éléments objectifs, l’exis- tence de cette procédure au stade de la demande n’a pas davantage de portée probatoire que de simples allégations et ne sufﬁt pas à rendre vraisemblable le moyen libératoire tiré du dol. En retenant implicite- ment le contraire, le juge intimé a fait une application arbitraire de l’art. 82 al. 2 LP. Le pourvoi doit par conséquent être admis.</w:t>
      </w:r>
    </w:p>
    <w:p>
      <w:r>
        <w:rPr>
          <w:b/>
        </w:rPr>
        <w:t>E. 5</w:t>
      </w:r>
    </w:p>
    <w:p>
      <w:r>
        <w:t>La cause étant en l’état, la cour rend une nouvelle décision (art. 234 al. 1 2e phr. CPC). Les écrits privés sont des titres à la mainlevée provisoire s’ils sont signés par le poursuivi, autrement dit s’ils respectent la forme écrite telle que déﬁnie lorsqu’elle est prescrite par la loi (art. 13 à 15 et 16 al. 2 CO) et comportent une reconnaissance de dette (Gilliéron, art. 82 LP n° 33). Un contrat écrit justiﬁe en principe la mainlevée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(Gilliéron, op. cit., art. 82 LP n° 42). Le contrat de vente constitue une reconnaissance de dette pour le prix de vente, pour autant que le vendeur ait livré la chose vendue (Stoffel, op. cit., § 4 n° 119 et les réf. citées; Gilliéron, op. cit., art. 82 LP n° 46). En l’espèce, il n’est pas contesté que le poursuivant a exécuté son obligation de délivrer les actions vendues. Cette remise des actions rend exigible le paiement par le poursuivi d’un montant de 570’000 fr. par acomptes de 60’000 fr. tous les semestres, la première fois le 10 juillet 2003. Le poursuivi n’a pas versé l’acompte échu au 30 juin 2004. Il est donc justiﬁé de prononcer la mainlevée provisoire de l’opposi- tion formée au commandement de payer n° 165977 de l’ofﬁce des poursuites de Conthey, à concurrence de 60’000 fr., avec intérêt à 5% (art. 104 CO) dès le 1er juillet 2004 (Spahr, L’intérêt moratoire consé- quence de la demeure, RVJ 1990 p. 357). 198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